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8359"/>
        <w:gridCol w:w="708"/>
        <w:gridCol w:w="709"/>
        <w:gridCol w:w="695"/>
      </w:tblGrid>
      <w:tr w:rsidR="005C1195" w14:paraId="014BE91B" w14:textId="77777777" w:rsidTr="005C1195">
        <w:trPr>
          <w:trHeight w:val="357"/>
        </w:trPr>
        <w:tc>
          <w:tcPr>
            <w:tcW w:w="10471" w:type="dxa"/>
            <w:gridSpan w:val="4"/>
            <w:shd w:val="clear" w:color="auto" w:fill="000000" w:themeFill="text1"/>
          </w:tcPr>
          <w:p w14:paraId="76FDCA6F" w14:textId="6A46F6A7" w:rsidR="005C1195" w:rsidRPr="005C1195" w:rsidRDefault="005C1195" w:rsidP="005C1195">
            <w:pPr>
              <w:jc w:val="center"/>
              <w:rPr>
                <w:b/>
                <w:bCs/>
                <w:sz w:val="28"/>
                <w:szCs w:val="28"/>
              </w:rPr>
            </w:pPr>
            <w:r w:rsidRPr="005C1195">
              <w:rPr>
                <w:b/>
                <w:bCs/>
                <w:sz w:val="36"/>
                <w:szCs w:val="36"/>
              </w:rPr>
              <w:t>A-level Politics</w:t>
            </w:r>
          </w:p>
        </w:tc>
      </w:tr>
      <w:tr w:rsidR="005C1195" w14:paraId="2B53C2DF" w14:textId="77777777" w:rsidTr="005C1195">
        <w:trPr>
          <w:trHeight w:val="334"/>
        </w:trPr>
        <w:tc>
          <w:tcPr>
            <w:tcW w:w="8359" w:type="dxa"/>
          </w:tcPr>
          <w:p w14:paraId="583A701F" w14:textId="3D95ED61" w:rsidR="005C1195" w:rsidRPr="005C1195" w:rsidRDefault="005C1195">
            <w:pPr>
              <w:rPr>
                <w:b/>
                <w:bCs/>
              </w:rPr>
            </w:pPr>
            <w:r w:rsidRPr="005C1195">
              <w:rPr>
                <w:b/>
                <w:bCs/>
                <w:sz w:val="28"/>
                <w:szCs w:val="28"/>
              </w:rPr>
              <w:t>Paper 1: UK Politics and Core Political Ideas</w:t>
            </w:r>
          </w:p>
        </w:tc>
        <w:tc>
          <w:tcPr>
            <w:tcW w:w="708" w:type="dxa"/>
          </w:tcPr>
          <w:p w14:paraId="54EC41C2" w14:textId="61AFC515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28AD77" wp14:editId="50F865C0">
                  <wp:extent cx="265814" cy="265814"/>
                  <wp:effectExtent l="0" t="0" r="1270" b="1270"/>
                  <wp:docPr id="1" name="Graphic 1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ad face with solid fill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0" cy="2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6A39562" w14:textId="7B2917D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84CE59" wp14:editId="78B1F1D6">
                  <wp:extent cx="286591" cy="286591"/>
                  <wp:effectExtent l="0" t="0" r="0" b="0"/>
                  <wp:docPr id="2" name="Graphic 2" descr="Confuse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nfused face with solid fill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7" cy="2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CA68547" w14:textId="1A24596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6BFE5" wp14:editId="4AAA386C">
                  <wp:extent cx="287079" cy="287079"/>
                  <wp:effectExtent l="0" t="0" r="0" b="0"/>
                  <wp:docPr id="3" name="Graphic 3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miling face with solid fil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8" cy="29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195" w:rsidRPr="005C1195" w14:paraId="05B49D75" w14:textId="77777777" w:rsidTr="005C1195">
        <w:trPr>
          <w:trHeight w:val="334"/>
        </w:trPr>
        <w:tc>
          <w:tcPr>
            <w:tcW w:w="8359" w:type="dxa"/>
          </w:tcPr>
          <w:p w14:paraId="1A5A23B6" w14:textId="77777777" w:rsidR="005C1195" w:rsidRPr="000103FD" w:rsidRDefault="005C1195" w:rsidP="005C119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sz w:val="24"/>
                <w:szCs w:val="24"/>
              </w:rPr>
              <w:t>1.1 Current systems of representative democracy and direct</w:t>
            </w:r>
          </w:p>
          <w:p w14:paraId="0F18C580" w14:textId="77777777" w:rsidR="005C1195" w:rsidRPr="000103FD" w:rsidRDefault="005C1195" w:rsidP="005C119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sz w:val="24"/>
                <w:szCs w:val="24"/>
              </w:rPr>
              <w:t>democracy.</w:t>
            </w:r>
          </w:p>
          <w:p w14:paraId="52BCD3B6" w14:textId="0E871DBF" w:rsidR="005C1195" w:rsidRPr="000103FD" w:rsidRDefault="005C1195" w:rsidP="005C11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The features of direct democracy and representative</w:t>
            </w:r>
            <w:r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democracy.</w:t>
            </w:r>
          </w:p>
          <w:p w14:paraId="0412C60A" w14:textId="77777777" w:rsidR="005C1195" w:rsidRPr="000103FD" w:rsidRDefault="005C1195" w:rsidP="005C11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The similarities and differences between direct democracy</w:t>
            </w:r>
            <w:r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and representative democracy.</w:t>
            </w:r>
          </w:p>
          <w:p w14:paraId="3A2AF458" w14:textId="392501DC" w:rsidR="005C1195" w:rsidRPr="000103FD" w:rsidRDefault="005C1195" w:rsidP="005C11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Advantages and disadvantages of direct democracy and</w:t>
            </w:r>
            <w:r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representative democracy and consideration of the case for</w:t>
            </w:r>
            <w:r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reform.</w:t>
            </w:r>
          </w:p>
        </w:tc>
        <w:tc>
          <w:tcPr>
            <w:tcW w:w="708" w:type="dxa"/>
          </w:tcPr>
          <w:p w14:paraId="1CEC9DD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706B6B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FD5BCB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573A8F5" w14:textId="77777777" w:rsidTr="005C1195">
        <w:trPr>
          <w:trHeight w:val="334"/>
        </w:trPr>
        <w:tc>
          <w:tcPr>
            <w:tcW w:w="8359" w:type="dxa"/>
          </w:tcPr>
          <w:p w14:paraId="5C86CD4A" w14:textId="77777777" w:rsidR="005C1195" w:rsidRPr="000103FD" w:rsidRDefault="005C1195" w:rsidP="005C119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sz w:val="24"/>
                <w:szCs w:val="24"/>
              </w:rPr>
              <w:t>1.2 A wider franchise and debates over suffrage.</w:t>
            </w:r>
          </w:p>
          <w:p w14:paraId="63FC5692" w14:textId="77777777" w:rsidR="006B267B" w:rsidRPr="000103FD" w:rsidRDefault="005C1195" w:rsidP="005C11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Key milestones in the widening of the franchise in relation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to class, gender, ethnicity and age, including the 1832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Great Reform Act and the 1918, 1928 and 1969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Representation of the People Acts.</w:t>
            </w:r>
          </w:p>
          <w:p w14:paraId="219966F1" w14:textId="77777777" w:rsidR="006B267B" w:rsidRPr="000103FD" w:rsidRDefault="005C1195" w:rsidP="005C11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The work of the suffragists/suffragettes to extend the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franchise.</w:t>
            </w:r>
          </w:p>
          <w:p w14:paraId="787CF28F" w14:textId="5DCD21E0" w:rsidR="005C1195" w:rsidRPr="000103FD" w:rsidRDefault="005C1195" w:rsidP="005C119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The work of a current movement to extend the franchise.</w:t>
            </w:r>
          </w:p>
        </w:tc>
        <w:tc>
          <w:tcPr>
            <w:tcW w:w="708" w:type="dxa"/>
          </w:tcPr>
          <w:p w14:paraId="6C7249B0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81DAF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9796A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76753AE0" w14:textId="77777777" w:rsidTr="005C1195">
        <w:trPr>
          <w:trHeight w:val="334"/>
        </w:trPr>
        <w:tc>
          <w:tcPr>
            <w:tcW w:w="8359" w:type="dxa"/>
          </w:tcPr>
          <w:p w14:paraId="59907879" w14:textId="0D949585" w:rsidR="005C1195" w:rsidRPr="000103FD" w:rsidRDefault="005C1195" w:rsidP="006B267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sz w:val="24"/>
                <w:szCs w:val="24"/>
              </w:rPr>
              <w:t>Pressure groups and other influences.</w:t>
            </w:r>
          </w:p>
          <w:p w14:paraId="79295A68" w14:textId="06D0C9BC" w:rsidR="005C1195" w:rsidRPr="000103FD" w:rsidRDefault="005C1195" w:rsidP="005C1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How different pressure groups exert influence and how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their methods and influence vary in contemporary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politics.</w:t>
            </w:r>
          </w:p>
          <w:p w14:paraId="145AD85C" w14:textId="53F2B765" w:rsidR="005C1195" w:rsidRPr="000103FD" w:rsidRDefault="005C1195" w:rsidP="005C1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Case studies of two different pressure groups,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highlighting examples of how their methods and influence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vary.</w:t>
            </w:r>
          </w:p>
          <w:p w14:paraId="6125837D" w14:textId="7957FD0B" w:rsidR="005C1195" w:rsidRPr="000103FD" w:rsidRDefault="005C1195" w:rsidP="006B26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Other collective organisations and groups including think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tanks, lobbyists and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="006B267B" w:rsidRPr="000103FD">
              <w:rPr>
                <w:rFonts w:cstheme="minorHAnsi"/>
                <w:sz w:val="24"/>
                <w:szCs w:val="24"/>
              </w:rPr>
              <w:t>corporations, and their influence on</w:t>
            </w:r>
            <w:r w:rsidR="006B267B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="006B267B" w:rsidRPr="000103FD">
              <w:rPr>
                <w:rFonts w:cstheme="minorHAnsi"/>
                <w:sz w:val="24"/>
                <w:szCs w:val="24"/>
              </w:rPr>
              <w:t>government and Parliament.</w:t>
            </w:r>
          </w:p>
        </w:tc>
        <w:tc>
          <w:tcPr>
            <w:tcW w:w="708" w:type="dxa"/>
          </w:tcPr>
          <w:p w14:paraId="77322CF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F523A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964AE09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F5F22F2" w14:textId="77777777" w:rsidTr="005C1195">
        <w:trPr>
          <w:trHeight w:val="334"/>
        </w:trPr>
        <w:tc>
          <w:tcPr>
            <w:tcW w:w="8359" w:type="dxa"/>
          </w:tcPr>
          <w:p w14:paraId="3E91FD22" w14:textId="77777777" w:rsidR="005C1195" w:rsidRPr="000103FD" w:rsidRDefault="005C1195" w:rsidP="005C119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sz w:val="24"/>
                <w:szCs w:val="24"/>
              </w:rPr>
              <w:t>1.4 Rights in context.</w:t>
            </w:r>
          </w:p>
          <w:p w14:paraId="4ECC62E5" w14:textId="77777777" w:rsidR="006C7487" w:rsidRPr="000103FD" w:rsidRDefault="005C1195" w:rsidP="006C74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Major milestones in their development, including the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significance of Magna Carta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and more recent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developments, including the Human Rights Act 1998 and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Equality Act 2010.</w:t>
            </w:r>
          </w:p>
          <w:p w14:paraId="531BE2DB" w14:textId="51835BAE" w:rsidR="005C1195" w:rsidRPr="000103FD" w:rsidRDefault="005C1195" w:rsidP="006C748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Debates on the extent, limits and tensions within the UK’s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rights-based culture,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i</w:t>
            </w:r>
            <w:r w:rsidRPr="000103FD">
              <w:rPr>
                <w:rFonts w:cstheme="minorHAnsi"/>
                <w:sz w:val="24"/>
                <w:szCs w:val="24"/>
              </w:rPr>
              <w:t>ncluding consideration of how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individual and collective right may conflict, the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contributions from civil liberty pressure groups – including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the work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of two </w:t>
            </w:r>
            <w:r w:rsidR="006C7487" w:rsidRPr="000103FD">
              <w:rPr>
                <w:rFonts w:cstheme="minorHAnsi"/>
                <w:sz w:val="24"/>
                <w:szCs w:val="24"/>
              </w:rPr>
              <w:t>c</w:t>
            </w:r>
            <w:r w:rsidR="006C7487" w:rsidRPr="000103FD">
              <w:rPr>
                <w:rFonts w:cstheme="minorHAnsi"/>
                <w:sz w:val="24"/>
                <w:szCs w:val="24"/>
              </w:rPr>
              <w:t>ontemporary civil liberty pressure</w:t>
            </w:r>
            <w:r w:rsidR="006C7487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="006C7487" w:rsidRPr="000103FD">
              <w:rPr>
                <w:rFonts w:cstheme="minorHAnsi"/>
                <w:sz w:val="24"/>
                <w:szCs w:val="24"/>
              </w:rPr>
              <w:t>groups.</w:t>
            </w:r>
          </w:p>
        </w:tc>
        <w:tc>
          <w:tcPr>
            <w:tcW w:w="708" w:type="dxa"/>
          </w:tcPr>
          <w:p w14:paraId="6FDAC40C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9FEE0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07C65E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211CD137" w14:textId="77777777" w:rsidTr="005C1195">
        <w:trPr>
          <w:trHeight w:val="334"/>
        </w:trPr>
        <w:tc>
          <w:tcPr>
            <w:tcW w:w="8359" w:type="dxa"/>
          </w:tcPr>
          <w:p w14:paraId="697EBACE" w14:textId="77777777" w:rsidR="005C1195" w:rsidRPr="000103FD" w:rsidRDefault="005C1195" w:rsidP="005C119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sz w:val="24"/>
                <w:szCs w:val="24"/>
              </w:rPr>
              <w:t>2.1 Political parties.</w:t>
            </w:r>
          </w:p>
          <w:p w14:paraId="26E1BEB2" w14:textId="1E041989" w:rsidR="005C1195" w:rsidRPr="000103FD" w:rsidRDefault="005C1195" w:rsidP="005C11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The functions and features of political parties in the UK’s</w:t>
            </w:r>
            <w:r w:rsidR="00B859AE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representative democracy.</w:t>
            </w:r>
          </w:p>
          <w:p w14:paraId="6FCC5C54" w14:textId="24A86646" w:rsidR="005C1195" w:rsidRPr="000103FD" w:rsidRDefault="005C1195" w:rsidP="00B859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sz w:val="24"/>
                <w:szCs w:val="24"/>
              </w:rPr>
              <w:t>How parties are currently funded, debates on the</w:t>
            </w:r>
            <w:r w:rsidR="00B859AE" w:rsidRPr="000103FD">
              <w:rPr>
                <w:rFonts w:cstheme="minorHAnsi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sz w:val="24"/>
                <w:szCs w:val="24"/>
              </w:rPr>
              <w:t>consequences of the current funding system.</w:t>
            </w:r>
          </w:p>
        </w:tc>
        <w:tc>
          <w:tcPr>
            <w:tcW w:w="708" w:type="dxa"/>
          </w:tcPr>
          <w:p w14:paraId="0DFEE81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1BAC6E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BB2B028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56DC0FEA" w14:textId="77777777" w:rsidTr="005C1195">
        <w:trPr>
          <w:trHeight w:val="334"/>
        </w:trPr>
        <w:tc>
          <w:tcPr>
            <w:tcW w:w="8359" w:type="dxa"/>
          </w:tcPr>
          <w:p w14:paraId="7AF72963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t>2.2 Established political parties.</w:t>
            </w:r>
          </w:p>
          <w:p w14:paraId="6992E6EC" w14:textId="01C74E98" w:rsidR="005C1195" w:rsidRPr="000103FD" w:rsidRDefault="005C1195" w:rsidP="00B859A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origins and historical development of the Conservative</w:t>
            </w:r>
            <w:r w:rsidR="00B859AE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Party, the Labour Party and Liberal Democrat Party, and</w:t>
            </w:r>
            <w:r w:rsidR="00B859AE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how this has shaped their ideas and current policies on the</w:t>
            </w:r>
            <w:r w:rsidR="00B859AE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economy, law and order, welfare and foreign policy.</w:t>
            </w:r>
          </w:p>
        </w:tc>
        <w:tc>
          <w:tcPr>
            <w:tcW w:w="708" w:type="dxa"/>
          </w:tcPr>
          <w:p w14:paraId="43B1D190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5563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EF562CC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36B98D79" w14:textId="77777777" w:rsidTr="005C1195">
        <w:trPr>
          <w:trHeight w:val="334"/>
        </w:trPr>
        <w:tc>
          <w:tcPr>
            <w:tcW w:w="8359" w:type="dxa"/>
          </w:tcPr>
          <w:p w14:paraId="0222A0BF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t>2.3 Emerging and minor UK political parties.</w:t>
            </w:r>
          </w:p>
          <w:p w14:paraId="057D60A9" w14:textId="3F9023A6" w:rsidR="005C1195" w:rsidRPr="000103FD" w:rsidRDefault="005C1195" w:rsidP="000E4F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importance of other parties in the UK.</w:t>
            </w:r>
          </w:p>
          <w:p w14:paraId="535B5BBF" w14:textId="6ACDFE64" w:rsidR="005C1195" w:rsidRPr="000103FD" w:rsidRDefault="005C1195" w:rsidP="000E4FA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ideas and policies of two other minor parties.</w:t>
            </w:r>
          </w:p>
        </w:tc>
        <w:tc>
          <w:tcPr>
            <w:tcW w:w="708" w:type="dxa"/>
          </w:tcPr>
          <w:p w14:paraId="72DBA31F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DDC50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1C9D33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1C63863B" w14:textId="77777777" w:rsidTr="005C1195">
        <w:trPr>
          <w:trHeight w:val="334"/>
        </w:trPr>
        <w:tc>
          <w:tcPr>
            <w:tcW w:w="8359" w:type="dxa"/>
          </w:tcPr>
          <w:p w14:paraId="7867AAA1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t>2.4 UK political parties in context.</w:t>
            </w:r>
          </w:p>
          <w:p w14:paraId="5F117716" w14:textId="57D201FA" w:rsidR="005C1195" w:rsidRPr="000103FD" w:rsidRDefault="005C1195" w:rsidP="005C119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development of a multi-party system and its</w:t>
            </w:r>
            <w:r w:rsidR="000E4FA6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implications for government.</w:t>
            </w:r>
          </w:p>
          <w:p w14:paraId="642BF9F6" w14:textId="77777777" w:rsidR="005C1195" w:rsidRDefault="005C1195" w:rsidP="005C119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Various factors that affect party success – explanations of</w:t>
            </w:r>
            <w:r w:rsidR="000E4FA6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why political</w:t>
            </w:r>
            <w:r w:rsidR="000E4FA6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parties have succeeded or failed, including</w:t>
            </w:r>
            <w:r w:rsidR="000E4FA6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debates on the influence of the media.</w:t>
            </w:r>
          </w:p>
          <w:p w14:paraId="18B28E35" w14:textId="497FFE37" w:rsidR="000103FD" w:rsidRPr="000103FD" w:rsidRDefault="000103FD" w:rsidP="000103F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063F87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BFE15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B3431B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0FBFEF18" w14:textId="77777777" w:rsidTr="005C1195">
        <w:trPr>
          <w:trHeight w:val="334"/>
        </w:trPr>
        <w:tc>
          <w:tcPr>
            <w:tcW w:w="8359" w:type="dxa"/>
          </w:tcPr>
          <w:p w14:paraId="6113D5FE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lastRenderedPageBreak/>
              <w:t>3.1 Different electoral systems.</w:t>
            </w:r>
          </w:p>
          <w:p w14:paraId="064B1028" w14:textId="2B5B4120" w:rsidR="005C1195" w:rsidRPr="000103FD" w:rsidRDefault="005C1195" w:rsidP="005C11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First-past-the-post (FPTP), Additional Member System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(AMS), Single Transferable Vote (STV) Supplementary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Vote (SV).</w:t>
            </w:r>
          </w:p>
          <w:p w14:paraId="05F196A6" w14:textId="0E01C67E" w:rsidR="005C1195" w:rsidRPr="000103FD" w:rsidRDefault="005C1195" w:rsidP="005C11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advantages and disadvantages of these different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systems.</w:t>
            </w:r>
          </w:p>
          <w:p w14:paraId="312155FC" w14:textId="4E665859" w:rsidR="005C1195" w:rsidRPr="000103FD" w:rsidRDefault="005C1195" w:rsidP="00483E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Comparison of first-past-the-post (FPTP) to a different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electoral system in a devolved parliament/assembly.</w:t>
            </w:r>
          </w:p>
        </w:tc>
        <w:tc>
          <w:tcPr>
            <w:tcW w:w="708" w:type="dxa"/>
          </w:tcPr>
          <w:p w14:paraId="66EC6223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7DBE6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3FDEED4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40065EE8" w14:textId="77777777" w:rsidTr="005C1195">
        <w:trPr>
          <w:trHeight w:val="334"/>
        </w:trPr>
        <w:tc>
          <w:tcPr>
            <w:tcW w:w="8359" w:type="dxa"/>
          </w:tcPr>
          <w:p w14:paraId="7D9777BB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t>3.2 Referendums and how they are used.</w:t>
            </w:r>
          </w:p>
          <w:p w14:paraId="47CFCB99" w14:textId="3D7C3071" w:rsidR="005C1195" w:rsidRPr="00AF4A3F" w:rsidRDefault="005C1195" w:rsidP="00AF4A3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F4A3F">
              <w:rPr>
                <w:rFonts w:cstheme="minorHAnsi"/>
                <w:kern w:val="0"/>
                <w:sz w:val="24"/>
                <w:szCs w:val="24"/>
              </w:rPr>
              <w:t>How referendums have been used in the UK and their</w:t>
            </w:r>
            <w:r w:rsidR="00483E5D" w:rsidRPr="00AF4A3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F4A3F">
              <w:rPr>
                <w:rFonts w:cstheme="minorHAnsi"/>
                <w:kern w:val="0"/>
                <w:sz w:val="24"/>
                <w:szCs w:val="24"/>
              </w:rPr>
              <w:t>impact on UK political life since 1997.</w:t>
            </w:r>
          </w:p>
          <w:p w14:paraId="51442869" w14:textId="5B60CB77" w:rsidR="005C1195" w:rsidRPr="00AF4A3F" w:rsidRDefault="005C1195" w:rsidP="00AF4A3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4A3F">
              <w:rPr>
                <w:rFonts w:cstheme="minorHAnsi"/>
                <w:kern w:val="0"/>
                <w:sz w:val="24"/>
                <w:szCs w:val="24"/>
              </w:rPr>
              <w:t>The case for and against referendums in a representative</w:t>
            </w:r>
            <w:r w:rsidR="00483E5D" w:rsidRPr="00AF4A3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F4A3F">
              <w:rPr>
                <w:rFonts w:cstheme="minorHAnsi"/>
                <w:kern w:val="0"/>
                <w:sz w:val="24"/>
                <w:szCs w:val="24"/>
              </w:rPr>
              <w:t>democracy.</w:t>
            </w:r>
          </w:p>
        </w:tc>
        <w:tc>
          <w:tcPr>
            <w:tcW w:w="708" w:type="dxa"/>
          </w:tcPr>
          <w:p w14:paraId="3ECF22EE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7BD5AF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8C17084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68287E90" w14:textId="77777777" w:rsidTr="005C1195">
        <w:trPr>
          <w:trHeight w:val="334"/>
        </w:trPr>
        <w:tc>
          <w:tcPr>
            <w:tcW w:w="8359" w:type="dxa"/>
          </w:tcPr>
          <w:p w14:paraId="745CDC2D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t>3.3 Electoral system analysis.</w:t>
            </w:r>
          </w:p>
          <w:p w14:paraId="702705C3" w14:textId="600D931F" w:rsidR="005C1195" w:rsidRPr="00AF4A3F" w:rsidRDefault="005C1195" w:rsidP="00AF4A3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F4A3F">
              <w:rPr>
                <w:rFonts w:cstheme="minorHAnsi"/>
                <w:kern w:val="0"/>
                <w:sz w:val="24"/>
                <w:szCs w:val="24"/>
              </w:rPr>
              <w:t>Debates on why different electoral systems are used in the</w:t>
            </w:r>
            <w:r w:rsidR="00483E5D" w:rsidRPr="00AF4A3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F4A3F">
              <w:rPr>
                <w:rFonts w:cstheme="minorHAnsi"/>
                <w:kern w:val="0"/>
                <w:sz w:val="24"/>
                <w:szCs w:val="24"/>
              </w:rPr>
              <w:t>UK.</w:t>
            </w:r>
          </w:p>
          <w:p w14:paraId="52D9603A" w14:textId="6B5E69EC" w:rsidR="005C1195" w:rsidRPr="00AF4A3F" w:rsidRDefault="005C1195" w:rsidP="00AF4A3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F4A3F">
              <w:rPr>
                <w:rFonts w:cstheme="minorHAnsi"/>
                <w:kern w:val="0"/>
                <w:sz w:val="24"/>
                <w:szCs w:val="24"/>
              </w:rPr>
              <w:t>The impact of the electoral system on the government or</w:t>
            </w:r>
            <w:r w:rsidR="00483E5D" w:rsidRPr="00AF4A3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F4A3F">
              <w:rPr>
                <w:rFonts w:cstheme="minorHAnsi"/>
                <w:kern w:val="0"/>
                <w:sz w:val="24"/>
                <w:szCs w:val="24"/>
              </w:rPr>
              <w:t>type of government appointed.</w:t>
            </w:r>
          </w:p>
          <w:p w14:paraId="4F73B3C9" w14:textId="443DA93F" w:rsidR="005C1195" w:rsidRPr="00AF4A3F" w:rsidRDefault="005C1195" w:rsidP="00AF4A3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4A3F">
              <w:rPr>
                <w:rFonts w:cstheme="minorHAnsi"/>
                <w:kern w:val="0"/>
                <w:sz w:val="24"/>
                <w:szCs w:val="24"/>
              </w:rPr>
              <w:t>The impact of different systems on party representation</w:t>
            </w:r>
            <w:r w:rsidR="00483E5D" w:rsidRPr="00AF4A3F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AF4A3F">
              <w:rPr>
                <w:rFonts w:cstheme="minorHAnsi"/>
                <w:kern w:val="0"/>
                <w:sz w:val="24"/>
                <w:szCs w:val="24"/>
              </w:rPr>
              <w:t>and of electoral systems on voter choice.</w:t>
            </w:r>
          </w:p>
        </w:tc>
        <w:tc>
          <w:tcPr>
            <w:tcW w:w="708" w:type="dxa"/>
          </w:tcPr>
          <w:p w14:paraId="24C50721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AF400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1F38FC01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06C6CA11" w14:textId="77777777" w:rsidTr="005C1195">
        <w:trPr>
          <w:trHeight w:val="334"/>
        </w:trPr>
        <w:tc>
          <w:tcPr>
            <w:tcW w:w="8359" w:type="dxa"/>
          </w:tcPr>
          <w:p w14:paraId="1DC2B3E5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t>4.1 Case studies of three key general elections.</w:t>
            </w:r>
          </w:p>
          <w:p w14:paraId="22D807A7" w14:textId="734EA349" w:rsidR="005C1195" w:rsidRPr="000103FD" w:rsidRDefault="005C1195" w:rsidP="00483E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Case studies of three elections (one from the period 1945–92, the 1997 election, and one since 1997), the results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and their impact on parties and government.</w:t>
            </w:r>
          </w:p>
          <w:p w14:paraId="27899BCF" w14:textId="2E9F9691" w:rsidR="005C1195" w:rsidRPr="000103FD" w:rsidRDefault="005C1195" w:rsidP="00483E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factors that explain the outcomes of these elections,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including:</w:t>
            </w:r>
          </w:p>
          <w:p w14:paraId="314ECEDD" w14:textId="64369355" w:rsidR="005C1195" w:rsidRPr="000103FD" w:rsidRDefault="005C1195" w:rsidP="00483E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reasons for and impact of party policies and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manifestos, techniques used in their election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campaigns, and the wider political context of the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proofErr w:type="gramStart"/>
            <w:r w:rsidRPr="000103FD">
              <w:rPr>
                <w:rFonts w:cstheme="minorHAnsi"/>
                <w:kern w:val="0"/>
                <w:sz w:val="24"/>
                <w:szCs w:val="24"/>
              </w:rPr>
              <w:t>elections</w:t>
            </w:r>
            <w:proofErr w:type="gramEnd"/>
          </w:p>
          <w:p w14:paraId="2AD4ABCD" w14:textId="4EA1FD1C" w:rsidR="00483E5D" w:rsidRPr="000103FD" w:rsidRDefault="005C1195" w:rsidP="00483E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class-based voting and other factors influencing voting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 xml:space="preserve">patterns, such as partisanship and voting </w:t>
            </w:r>
            <w:proofErr w:type="gramStart"/>
            <w:r w:rsidRPr="000103FD">
              <w:rPr>
                <w:rFonts w:cstheme="minorHAnsi"/>
                <w:kern w:val="0"/>
                <w:sz w:val="24"/>
                <w:szCs w:val="24"/>
              </w:rPr>
              <w:t>attachment</w:t>
            </w:r>
            <w:proofErr w:type="gramEnd"/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6B15C11C" w14:textId="13FB0F7C" w:rsidR="005C1195" w:rsidRPr="000103FD" w:rsidRDefault="005C1195" w:rsidP="00483E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gender, age, ethnicity and region as factors in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influencing voting behaviour, turnout and trends.</w:t>
            </w:r>
          </w:p>
          <w:p w14:paraId="748C5019" w14:textId="36359E7E" w:rsidR="005C1195" w:rsidRPr="000103FD" w:rsidRDefault="005C1195" w:rsidP="00483E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Analysis of the national voting-behaviour patterns for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these elections, revealed by national data sources and how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and why they vary.</w:t>
            </w:r>
          </w:p>
        </w:tc>
        <w:tc>
          <w:tcPr>
            <w:tcW w:w="708" w:type="dxa"/>
          </w:tcPr>
          <w:p w14:paraId="45E9BD9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1B93CA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440173DD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  <w:tr w:rsidR="005C1195" w:rsidRPr="005C1195" w14:paraId="69C89BCB" w14:textId="77777777" w:rsidTr="005C1195">
        <w:trPr>
          <w:trHeight w:val="334"/>
        </w:trPr>
        <w:tc>
          <w:tcPr>
            <w:tcW w:w="8359" w:type="dxa"/>
          </w:tcPr>
          <w:p w14:paraId="6DBF3B86" w14:textId="77777777" w:rsidR="005C1195" w:rsidRPr="000103FD" w:rsidRDefault="005C1195" w:rsidP="005C11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b/>
                <w:bCs/>
                <w:kern w:val="0"/>
                <w:sz w:val="24"/>
                <w:szCs w:val="24"/>
              </w:rPr>
              <w:t>4.2 The influence of the media.</w:t>
            </w:r>
          </w:p>
          <w:p w14:paraId="1342AD6B" w14:textId="58BC6E91" w:rsidR="005C1195" w:rsidRPr="000103FD" w:rsidRDefault="005C1195" w:rsidP="005C119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0103FD">
              <w:rPr>
                <w:rFonts w:cstheme="minorHAnsi"/>
                <w:kern w:val="0"/>
                <w:sz w:val="24"/>
                <w:szCs w:val="24"/>
              </w:rPr>
              <w:t>The assessment of the role and impact of the media on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politics – both during and between key general elections,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including the importance and relevance of opinion polls,</w:t>
            </w:r>
            <w:r w:rsidR="00483E5D" w:rsidRPr="000103F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0103FD">
              <w:rPr>
                <w:rFonts w:cstheme="minorHAnsi"/>
                <w:kern w:val="0"/>
                <w:sz w:val="24"/>
                <w:szCs w:val="24"/>
              </w:rPr>
              <w:t>media bias and persuasion.</w:t>
            </w:r>
          </w:p>
        </w:tc>
        <w:tc>
          <w:tcPr>
            <w:tcW w:w="708" w:type="dxa"/>
          </w:tcPr>
          <w:p w14:paraId="0003A10A" w14:textId="77777777" w:rsidR="005C1195" w:rsidRPr="000103FD" w:rsidRDefault="005C11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45B4D5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B370BB2" w14:textId="77777777" w:rsidR="005C1195" w:rsidRPr="005C1195" w:rsidRDefault="005C1195">
            <w:pPr>
              <w:rPr>
                <w:sz w:val="24"/>
                <w:szCs w:val="24"/>
              </w:rPr>
            </w:pPr>
          </w:p>
        </w:tc>
      </w:tr>
    </w:tbl>
    <w:p w14:paraId="6A24EE5F" w14:textId="77777777" w:rsidR="00653DF1" w:rsidRPr="005C1195" w:rsidRDefault="00653DF1">
      <w:pPr>
        <w:rPr>
          <w:sz w:val="24"/>
          <w:szCs w:val="24"/>
        </w:rPr>
      </w:pPr>
    </w:p>
    <w:sectPr w:rsidR="00653DF1" w:rsidRPr="005C1195" w:rsidSect="005C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3FB"/>
    <w:multiLevelType w:val="hybridMultilevel"/>
    <w:tmpl w:val="D6426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145"/>
    <w:multiLevelType w:val="hybridMultilevel"/>
    <w:tmpl w:val="7676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025F"/>
    <w:multiLevelType w:val="hybridMultilevel"/>
    <w:tmpl w:val="4942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A64AE"/>
    <w:multiLevelType w:val="hybridMultilevel"/>
    <w:tmpl w:val="B2D8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C29D1"/>
    <w:multiLevelType w:val="multilevel"/>
    <w:tmpl w:val="ECD67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110243"/>
    <w:multiLevelType w:val="hybridMultilevel"/>
    <w:tmpl w:val="3C60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40A6"/>
    <w:multiLevelType w:val="hybridMultilevel"/>
    <w:tmpl w:val="2FA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281E"/>
    <w:multiLevelType w:val="hybridMultilevel"/>
    <w:tmpl w:val="06E4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32513"/>
    <w:multiLevelType w:val="hybridMultilevel"/>
    <w:tmpl w:val="315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E33CA"/>
    <w:multiLevelType w:val="hybridMultilevel"/>
    <w:tmpl w:val="F384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58FE"/>
    <w:multiLevelType w:val="hybridMultilevel"/>
    <w:tmpl w:val="1716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71F41"/>
    <w:multiLevelType w:val="hybridMultilevel"/>
    <w:tmpl w:val="1A76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24A00"/>
    <w:multiLevelType w:val="hybridMultilevel"/>
    <w:tmpl w:val="85B4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054CE"/>
    <w:multiLevelType w:val="hybridMultilevel"/>
    <w:tmpl w:val="2734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43B76"/>
    <w:multiLevelType w:val="hybridMultilevel"/>
    <w:tmpl w:val="B1EE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23467">
    <w:abstractNumId w:val="6"/>
  </w:num>
  <w:num w:numId="2" w16cid:durableId="1633710024">
    <w:abstractNumId w:val="2"/>
  </w:num>
  <w:num w:numId="3" w16cid:durableId="1685015559">
    <w:abstractNumId w:val="13"/>
  </w:num>
  <w:num w:numId="4" w16cid:durableId="2108307303">
    <w:abstractNumId w:val="4"/>
  </w:num>
  <w:num w:numId="5" w16cid:durableId="1013147542">
    <w:abstractNumId w:val="9"/>
  </w:num>
  <w:num w:numId="6" w16cid:durableId="1220626102">
    <w:abstractNumId w:val="1"/>
  </w:num>
  <w:num w:numId="7" w16cid:durableId="789319738">
    <w:abstractNumId w:val="8"/>
  </w:num>
  <w:num w:numId="8" w16cid:durableId="1103723532">
    <w:abstractNumId w:val="7"/>
  </w:num>
  <w:num w:numId="9" w16cid:durableId="525561678">
    <w:abstractNumId w:val="11"/>
  </w:num>
  <w:num w:numId="10" w16cid:durableId="484442778">
    <w:abstractNumId w:val="12"/>
  </w:num>
  <w:num w:numId="11" w16cid:durableId="1502502352">
    <w:abstractNumId w:val="5"/>
  </w:num>
  <w:num w:numId="12" w16cid:durableId="836574008">
    <w:abstractNumId w:val="0"/>
  </w:num>
  <w:num w:numId="13" w16cid:durableId="1073702738">
    <w:abstractNumId w:val="14"/>
  </w:num>
  <w:num w:numId="14" w16cid:durableId="269314056">
    <w:abstractNumId w:val="10"/>
  </w:num>
  <w:num w:numId="15" w16cid:durableId="181213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95"/>
    <w:rsid w:val="000103FD"/>
    <w:rsid w:val="000E4FA6"/>
    <w:rsid w:val="00483E5D"/>
    <w:rsid w:val="005C1195"/>
    <w:rsid w:val="00653DF1"/>
    <w:rsid w:val="006B267B"/>
    <w:rsid w:val="006C7487"/>
    <w:rsid w:val="00835173"/>
    <w:rsid w:val="009959B2"/>
    <w:rsid w:val="00AF4A3F"/>
    <w:rsid w:val="00B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873"/>
  <w15:chartTrackingRefBased/>
  <w15:docId w15:val="{58044063-0DA7-4E31-B293-C764BEB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Buckley</dc:creator>
  <cp:keywords/>
  <dc:description/>
  <cp:lastModifiedBy>G Buckley</cp:lastModifiedBy>
  <cp:revision>3</cp:revision>
  <dcterms:created xsi:type="dcterms:W3CDTF">2024-07-10T13:52:00Z</dcterms:created>
  <dcterms:modified xsi:type="dcterms:W3CDTF">2024-07-10T14:01:00Z</dcterms:modified>
</cp:coreProperties>
</file>